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324" w:rsidRPr="00F60324" w:rsidRDefault="00F60324" w:rsidP="00F60324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bookmarkStart w:id="0" w:name="_GoBack"/>
      <w:bookmarkEnd w:id="0"/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 xml:space="preserve">      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ROK AKADEMICKI: 20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23/2024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F60324" w:rsidRPr="00F60324" w:rsidTr="00107EA6">
        <w:trPr>
          <w:trHeight w:val="397"/>
        </w:trPr>
        <w:tc>
          <w:tcPr>
            <w:tcW w:w="189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397"/>
        </w:trPr>
        <w:tc>
          <w:tcPr>
            <w:tcW w:w="189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ZARZĄDZANIE PERSONELEM W ADMINISTRACJI PUBLICZNEJ</w:t>
            </w:r>
          </w:p>
        </w:tc>
      </w:tr>
      <w:tr w:rsidR="00F60324" w:rsidRPr="00F60324" w:rsidTr="00107EA6">
        <w:trPr>
          <w:trHeight w:val="397"/>
        </w:trPr>
        <w:tc>
          <w:tcPr>
            <w:tcW w:w="189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Barbara Lubas, prof. WSZ-SW</w:t>
            </w:r>
          </w:p>
        </w:tc>
      </w:tr>
      <w:tr w:rsidR="00F60324" w:rsidRPr="00F60324" w:rsidTr="00107EA6">
        <w:trPr>
          <w:trHeight w:val="397"/>
        </w:trPr>
        <w:tc>
          <w:tcPr>
            <w:tcW w:w="189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578-923-905, dhryszkiewicz@gmail.com</w:t>
            </w:r>
          </w:p>
        </w:tc>
      </w:tr>
    </w:tbl>
    <w:p w:rsidR="00F60324" w:rsidRPr="00F60324" w:rsidRDefault="00F60324" w:rsidP="00F60324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F60324" w:rsidRPr="00F60324" w:rsidTr="00107EA6">
        <w:trPr>
          <w:trHeight w:val="397"/>
        </w:trPr>
        <w:tc>
          <w:tcPr>
            <w:tcW w:w="23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F60324" w:rsidRPr="00F60324" w:rsidTr="00107EA6">
        <w:trPr>
          <w:trHeight w:val="397"/>
        </w:trPr>
        <w:tc>
          <w:tcPr>
            <w:tcW w:w="23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F60324" w:rsidRPr="00F60324" w:rsidTr="00107EA6">
        <w:trPr>
          <w:trHeight w:val="397"/>
        </w:trPr>
        <w:tc>
          <w:tcPr>
            <w:tcW w:w="23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STACJONARNE/NIESTACJONARNE</w:t>
            </w:r>
          </w:p>
        </w:tc>
      </w:tr>
      <w:tr w:rsidR="00F60324" w:rsidRPr="00F60324" w:rsidTr="00107EA6">
        <w:trPr>
          <w:trHeight w:val="397"/>
        </w:trPr>
        <w:tc>
          <w:tcPr>
            <w:tcW w:w="23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6 (studia licencjackie)</w:t>
            </w:r>
          </w:p>
        </w:tc>
      </w:tr>
      <w:tr w:rsidR="00F60324" w:rsidRPr="00F60324" w:rsidTr="00107EA6">
        <w:trPr>
          <w:trHeight w:val="397"/>
        </w:trPr>
        <w:tc>
          <w:tcPr>
            <w:tcW w:w="23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:rsidR="00F60324" w:rsidRPr="00F60324" w:rsidRDefault="00F60324" w:rsidP="00F60324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827"/>
        <w:gridCol w:w="129"/>
        <w:gridCol w:w="1529"/>
        <w:gridCol w:w="1828"/>
        <w:gridCol w:w="1679"/>
      </w:tblGrid>
      <w:tr w:rsidR="00F60324" w:rsidRPr="00F60324" w:rsidTr="00107EA6">
        <w:trPr>
          <w:trHeight w:val="454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SPECJALNOŚCIOWE</w:t>
            </w:r>
          </w:p>
        </w:tc>
      </w:tr>
      <w:tr w:rsidR="00F60324" w:rsidRPr="00F60324" w:rsidTr="00107EA6">
        <w:trPr>
          <w:trHeight w:val="397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F60324" w:rsidRPr="00F60324" w:rsidTr="00107EA6">
        <w:trPr>
          <w:trHeight w:val="454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V</w:t>
            </w:r>
          </w:p>
        </w:tc>
      </w:tr>
      <w:tr w:rsidR="00F60324" w:rsidRPr="00F60324" w:rsidTr="00107EA6">
        <w:trPr>
          <w:trHeight w:val="454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Ćwiczenia – zaliczenie na ocenę</w:t>
            </w:r>
          </w:p>
        </w:tc>
      </w:tr>
      <w:tr w:rsidR="00F60324" w:rsidRPr="00F60324" w:rsidTr="00107EA6">
        <w:trPr>
          <w:trHeight w:val="397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F60324" w:rsidRPr="00F60324" w:rsidTr="00107EA6">
        <w:trPr>
          <w:trHeight w:val="454"/>
        </w:trPr>
        <w:tc>
          <w:tcPr>
            <w:tcW w:w="2322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454"/>
        </w:trPr>
        <w:tc>
          <w:tcPr>
            <w:tcW w:w="12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F60324" w:rsidRPr="00F60324" w:rsidTr="00107EA6">
        <w:trPr>
          <w:trHeight w:val="397"/>
        </w:trPr>
        <w:tc>
          <w:tcPr>
            <w:tcW w:w="1280" w:type="pct"/>
            <w:vMerge w:val="restar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94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397"/>
        </w:trPr>
        <w:tc>
          <w:tcPr>
            <w:tcW w:w="1280" w:type="pct"/>
            <w:vMerge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</w:t>
            </w:r>
          </w:p>
        </w:tc>
        <w:tc>
          <w:tcPr>
            <w:tcW w:w="883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97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F60324" w:rsidRPr="00F60324" w:rsidTr="00107EA6">
        <w:trPr>
          <w:trHeight w:val="397"/>
        </w:trPr>
        <w:tc>
          <w:tcPr>
            <w:tcW w:w="1280" w:type="pct"/>
            <w:vMerge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94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397"/>
        </w:trPr>
        <w:tc>
          <w:tcPr>
            <w:tcW w:w="1280" w:type="pct"/>
            <w:vMerge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94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397"/>
        </w:trPr>
        <w:tc>
          <w:tcPr>
            <w:tcW w:w="1280" w:type="pct"/>
            <w:vMerge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94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457"/>
        </w:trPr>
        <w:tc>
          <w:tcPr>
            <w:tcW w:w="12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457"/>
        </w:trPr>
        <w:tc>
          <w:tcPr>
            <w:tcW w:w="12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:rsidR="00F60324" w:rsidRPr="00F60324" w:rsidRDefault="00E076EB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76E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Barbara Lubas, prof. WSZ-SW</w:t>
            </w:r>
          </w:p>
        </w:tc>
        <w:tc>
          <w:tcPr>
            <w:tcW w:w="1864" w:type="pct"/>
            <w:gridSpan w:val="2"/>
            <w:shd w:val="clear" w:color="auto" w:fill="auto"/>
          </w:tcPr>
          <w:p w:rsidR="00F60324" w:rsidRPr="00F60324" w:rsidRDefault="00E076EB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76E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Barbara Lubas, prof. WSZ-SW</w:t>
            </w:r>
          </w:p>
        </w:tc>
      </w:tr>
      <w:tr w:rsidR="00F60324" w:rsidRPr="00F60324" w:rsidTr="00107EA6">
        <w:trPr>
          <w:trHeight w:val="457"/>
        </w:trPr>
        <w:tc>
          <w:tcPr>
            <w:tcW w:w="12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457"/>
        </w:trPr>
        <w:tc>
          <w:tcPr>
            <w:tcW w:w="128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F60324" w:rsidRPr="00F60324" w:rsidRDefault="00F60324" w:rsidP="00F60324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95"/>
        <w:gridCol w:w="275"/>
        <w:gridCol w:w="968"/>
        <w:gridCol w:w="142"/>
        <w:gridCol w:w="1479"/>
        <w:gridCol w:w="2129"/>
        <w:gridCol w:w="598"/>
        <w:gridCol w:w="499"/>
        <w:gridCol w:w="140"/>
        <w:gridCol w:w="426"/>
        <w:gridCol w:w="13"/>
        <w:gridCol w:w="1653"/>
        <w:gridCol w:w="22"/>
        <w:gridCol w:w="1333"/>
      </w:tblGrid>
      <w:tr w:rsidR="00F60324" w:rsidRPr="00F60324" w:rsidTr="00107EA6">
        <w:trPr>
          <w:gridAfter w:val="1"/>
          <w:wAfter w:w="620" w:type="pct"/>
          <w:trHeight w:val="457"/>
        </w:trPr>
        <w:tc>
          <w:tcPr>
            <w:tcW w:w="2822" w:type="pct"/>
            <w:gridSpan w:val="7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F60324" w:rsidRPr="00F60324" w:rsidTr="00107EA6">
        <w:trPr>
          <w:gridAfter w:val="1"/>
          <w:wAfter w:w="620" w:type="pct"/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Zapoznanie studentów z klasycznymi i współczesnymi narzędziami i instrumentami wykorzystywanymi</w:t>
            </w:r>
          </w:p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procesie zarządzania zasobami ludzkimi w organizacjach publicznych i obywatelskich w stopniu</w:t>
            </w:r>
          </w:p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umożliwiającym identyfikowanie praktycznych problemów pojawiających się w zarządzaniu organizacji możliwych</w:t>
            </w:r>
          </w:p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do rozwiązania z wykorzystaniem tych narzędzi. Przygotowanie słuchaczy do rozumienia istoty i możliwości</w:t>
            </w:r>
          </w:p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zastosowań klasycznych i współczesnych narzędzi w procesie ZZL.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K1P_W01, K1P_W02, </w:t>
            </w: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K1P_W07</w:t>
            </w:r>
          </w:p>
        </w:tc>
      </w:tr>
      <w:tr w:rsidR="00F60324" w:rsidRPr="00F60324" w:rsidTr="00107EA6">
        <w:trPr>
          <w:gridAfter w:val="1"/>
          <w:wAfter w:w="620" w:type="pct"/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ukształtowanie umiejętności określania celów zarządczych w działalności publicznych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i niepublicznych instytucji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K1P_U03, K1P_U04, </w:t>
            </w: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K1P_U14</w:t>
            </w:r>
          </w:p>
        </w:tc>
      </w:tr>
      <w:tr w:rsidR="00F60324" w:rsidRPr="00F60324" w:rsidTr="00107EA6">
        <w:trPr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76" w:lineRule="auto"/>
              <w:ind w:left="37" w:hanging="3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Gotowość do wypełniania zobowiązań społecznych oraz współorganizowania działalności na rzecz środowiska społecznego oraz samodzielnego rozwiązywania problemów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76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K1P_K03, K1P_K02</w:t>
            </w:r>
          </w:p>
        </w:tc>
        <w:tc>
          <w:tcPr>
            <w:tcW w:w="620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1"/>
          <w:wAfter w:w="620" w:type="pct"/>
          <w:trHeight w:val="918"/>
        </w:trPr>
        <w:tc>
          <w:tcPr>
            <w:tcW w:w="2822" w:type="pct"/>
            <w:gridSpan w:val="7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558" w:type="pct"/>
            <w:gridSpan w:val="7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</w:t>
            </w:r>
          </w:p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osiągnięcie efektu uczenia się 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K1P_W01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zna współczesny dorobek związany z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zarządzaniem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zasobami ludzkimi i funkcjonowaniem pracowników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 organizacjach publicznych i obywatelskich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i możliwości jego odniesienia do realnych problemów</w:t>
            </w:r>
          </w:p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zarządzania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Praca pisemna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K1P_W02</w:t>
            </w:r>
          </w:p>
        </w:tc>
        <w:tc>
          <w:tcPr>
            <w:tcW w:w="1678" w:type="pct"/>
            <w:gridSpan w:val="2"/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posiada wiedzę dotyczącą podstaw i znaczenia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procesów restrukturyzacyjnych i zmian strategii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obszarze zarządzania zasobami ludzkimi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organizacjach publicznych i obywatelskich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Praca pisemna</w:t>
            </w:r>
          </w:p>
        </w:tc>
      </w:tr>
      <w:tr w:rsidR="00F60324" w:rsidRPr="00F60324" w:rsidTr="00107EA6">
        <w:trPr>
          <w:gridAfter w:val="1"/>
          <w:wAfter w:w="620" w:type="pct"/>
          <w:trHeight w:val="704"/>
        </w:trPr>
        <w:tc>
          <w:tcPr>
            <w:tcW w:w="500" w:type="pct"/>
            <w:gridSpan w:val="2"/>
            <w:tcBorders>
              <w:bottom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K1P_W07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 zaawansowaną wiedzę o człowieku jako istocie ludzkiej, społecznych i psychologicznych przyczynach zachowania ludzi w organizacji oraz relacjach społecznych nawiązywanych w organizacji i jej otoczeniu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pisemna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K1P_U03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wykorzystywać posiadaną wiedzę w zakresie zarządzania zasobami ludzkimi oraz metod badania zachowań ludzi w jednostkach sektora publicznego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K1P_U04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posiada umiejętności pogłębionej obserwacji zjawisk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 procesów kadrowych w organizacji publicznej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 obywatelskiej oraz ich analizy i interpretacji przy</w:t>
            </w:r>
          </w:p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zastosowaniu niektórych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z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aawansowanych ujęć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teoretycznych i metodycznych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zadanie praktyczne w postaci prezentacji – praca grupowa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K1P_U14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Potrafi współdziałać z innymi osobami w ramach prac zespołowych, także o charakterze interdyscyplinarnym 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P6S_UO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zadanie praktyczne w postaci prezentacji – praca grupowa</w:t>
            </w:r>
          </w:p>
        </w:tc>
      </w:tr>
      <w:tr w:rsidR="00F60324" w:rsidRPr="00F60324" w:rsidTr="00107EA6">
        <w:trPr>
          <w:gridAfter w:val="1"/>
          <w:wAfter w:w="620" w:type="pct"/>
          <w:trHeight w:val="1231"/>
        </w:trPr>
        <w:tc>
          <w:tcPr>
            <w:tcW w:w="500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K1P_K03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 gotów do rozwiązywania problemów praktycznych związanych z zachowaniami określonych społecznych w organizacji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P6S_KK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F60324" w:rsidRPr="00F60324" w:rsidTr="00107EA6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K1P_K02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:rsidR="00F60324" w:rsidRPr="00F60324" w:rsidRDefault="00F60324" w:rsidP="00F6032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posiada przygotowanie do krytycznie racjonalnego interpretowania decyzji zarządczych w podmiotach organizacyjnych sektora publicznego</w:t>
            </w:r>
          </w:p>
        </w:tc>
        <w:tc>
          <w:tcPr>
            <w:tcW w:w="773" w:type="pct"/>
            <w:gridSpan w:val="4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P6S_KK</w:t>
            </w:r>
          </w:p>
        </w:tc>
        <w:tc>
          <w:tcPr>
            <w:tcW w:w="785" w:type="pct"/>
            <w:gridSpan w:val="3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F60324" w:rsidRPr="00F60324" w:rsidTr="00107EA6">
        <w:trPr>
          <w:gridAfter w:val="13"/>
          <w:wAfter w:w="4500" w:type="pct"/>
          <w:trHeight w:val="510"/>
        </w:trPr>
        <w:tc>
          <w:tcPr>
            <w:tcW w:w="500" w:type="pct"/>
            <w:gridSpan w:val="2"/>
            <w:tcBorders>
              <w:top w:val="nil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2822" w:type="pct"/>
            <w:gridSpan w:val="7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558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558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CWICZENIA AUDYTORYJNE 1</w:t>
            </w:r>
            <w:r w:rsidRPr="00F603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(stacjonarne- 7 godz., niestacjonarne- 4 godz.)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71" w:rsidRPr="00450471" w:rsidRDefault="00450471" w:rsidP="004504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Planowanie i pozyskiwanie zasobów ludzkich w organizacji. Formy zatrudniania</w:t>
            </w:r>
          </w:p>
          <w:p w:rsidR="00F60324" w:rsidRPr="00F60324" w:rsidRDefault="00450471" w:rsidP="004504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pracowników.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U01, U02, U03</w:t>
            </w: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CWICZENIA AUDYTORYJNE 2</w:t>
            </w:r>
            <w:r w:rsidRPr="00F603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(stacjonarne- 4 godz., niestacjonarne- 4godz.)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Pojęcie, cele i instrumenty zarządzania personelem w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administracji.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 Rekrutacja kadr w administracji.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3. Zarządzanie i kierowanie pracownikami w administracji.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4. Wynagradzanie i motywowanie pracowników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administracyjnych.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5. Ocenianie pracowników.</w:t>
            </w:r>
          </w:p>
          <w:p w:rsidR="00F130B3" w:rsidRPr="00F130B3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6. Szkolenie i doskonalenie zawodowe.</w:t>
            </w:r>
          </w:p>
          <w:p w:rsidR="00F60324" w:rsidRPr="00F60324" w:rsidRDefault="00F130B3" w:rsidP="00F130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7. Derekrutacja.</w:t>
            </w:r>
          </w:p>
        </w:tc>
        <w:tc>
          <w:tcPr>
            <w:tcW w:w="983" w:type="pct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U01, U02, U03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U01, U02, U03</w:t>
            </w: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CWICZENIA AUDYTORYJNE 3</w:t>
            </w:r>
            <w:r w:rsidRPr="00F603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(stacjonarne- 7godz., niestacjonarne- 4 godz.)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Pr="00450471" w:rsidRDefault="00450471" w:rsidP="00F60324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Ocena, motywowanie i wynagradzanie kadr.</w:t>
            </w:r>
          </w:p>
          <w:p w:rsidR="00450471" w:rsidRPr="00F60324" w:rsidRDefault="00450471" w:rsidP="00F60324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0471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Zapoznanie z programem płace Vulcan –omówienie wydruków i list płac</w:t>
            </w:r>
          </w:p>
        </w:tc>
        <w:tc>
          <w:tcPr>
            <w:tcW w:w="983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CWICZENIA AUDYTORYJNE 4</w:t>
            </w:r>
            <w:r w:rsidRPr="00F603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(stacjonarne - 7godz., niestacjonarne- 4 godz.)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71" w:rsidRPr="00F60324" w:rsidRDefault="00F60324" w:rsidP="004504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Diagnozowanie zachowań i</w:t>
            </w:r>
            <w:r w:rsid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kultury organizacyjnej</w:t>
            </w:r>
            <w:r w:rsid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  <w:p w:rsidR="00E85E6E" w:rsidRPr="00F60324" w:rsidRDefault="00F60324" w:rsidP="00E85E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Patologie</w:t>
            </w:r>
            <w:r w:rsidR="004504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organizacyjne i ich eliminowanie</w:t>
            </w:r>
            <w:r w:rsidR="00E85E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Metoda analizy przypadków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U01, U02, U03</w:t>
            </w:r>
          </w:p>
        </w:tc>
      </w:tr>
      <w:tr w:rsidR="00F60324" w:rsidRPr="00F60324" w:rsidTr="00107EA6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CWICZENIA AUDYTORYJNE 5</w:t>
            </w:r>
            <w:r w:rsidRPr="00F603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(stacjonarne- 7godz., niestacjonarne- 4 godz.)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Pr="00F60324" w:rsidRDefault="00F130B3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30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Ocenianie pracowników – arkusze oceny.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="00C00830" w:rsidRPr="00C008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nalizy wykresów, tabel, arkuszy ocen pracowników itp.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U01, U02, U03</w:t>
            </w:r>
          </w:p>
        </w:tc>
      </w:tr>
      <w:tr w:rsidR="00F60324" w:rsidRPr="00F60324" w:rsidTr="00107EA6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F60324" w:rsidRPr="00F60324" w:rsidTr="00107EA6">
        <w:trPr>
          <w:gridAfter w:val="2"/>
          <w:wAfter w:w="630" w:type="pct"/>
          <w:trHeight w:val="454"/>
        </w:trPr>
        <w:tc>
          <w:tcPr>
            <w:tcW w:w="1078" w:type="pct"/>
            <w:gridSpan w:val="4"/>
            <w:tcBorders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DYDAKTYCZNE ORAZ WYKORZYSTYWANE OPROGRAMOWANIE </w:t>
            </w:r>
          </w:p>
        </w:tc>
        <w:tc>
          <w:tcPr>
            <w:tcW w:w="225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E85E6E" w:rsidRPr="00F60324" w:rsidTr="00E85E6E">
              <w:trPr>
                <w:gridAfter w:val="1"/>
                <w:wAfter w:w="4036" w:type="dxa"/>
                <w:trHeight w:val="655"/>
                <w:tblCellSpacing w:w="15" w:type="dxa"/>
              </w:trPr>
              <w:tc>
                <w:tcPr>
                  <w:tcW w:w="4882" w:type="dxa"/>
                  <w:vMerge w:val="restart"/>
                  <w:hideMark/>
                </w:tcPr>
                <w:p w:rsidR="00E85E6E" w:rsidRPr="00E85E6E" w:rsidRDefault="00E85E6E" w:rsidP="00E85E6E">
                  <w:pPr>
                    <w:rPr>
                      <w:rFonts w:ascii="Times New Roman" w:hAnsi="Times New Roman" w:cs="Times New Roman"/>
                    </w:rPr>
                  </w:pPr>
                  <w:r w:rsidRPr="00E85E6E">
                    <w:rPr>
                      <w:rFonts w:ascii="Times New Roman" w:hAnsi="Times New Roman" w:cs="Times New Roman"/>
                    </w:rPr>
                    <w:t>Pokaz audiowizualny, forma instruktażu w początkowej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85E6E">
                    <w:rPr>
                      <w:rFonts w:ascii="Times New Roman" w:hAnsi="Times New Roman" w:cs="Times New Roman"/>
                    </w:rPr>
                    <w:t>części zajęć, metoda projektów, dyskusja, praca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85E6E">
                    <w:rPr>
                      <w:rFonts w:ascii="Times New Roman" w:hAnsi="Times New Roman" w:cs="Times New Roman"/>
                    </w:rPr>
                    <w:t>indywidualna studentów</w:t>
                  </w:r>
                </w:p>
              </w:tc>
            </w:tr>
            <w:tr w:rsidR="00E85E6E" w:rsidRPr="00F60324" w:rsidTr="00E85E6E">
              <w:trPr>
                <w:tblCellSpacing w:w="15" w:type="dxa"/>
              </w:trPr>
              <w:tc>
                <w:tcPr>
                  <w:tcW w:w="4882" w:type="dxa"/>
                  <w:vMerge/>
                  <w:hideMark/>
                </w:tcPr>
                <w:p w:rsidR="00E85E6E" w:rsidRPr="00E85E6E" w:rsidRDefault="00E85E6E" w:rsidP="00E85E6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E85E6E" w:rsidRPr="00F60324" w:rsidRDefault="00E85E6E" w:rsidP="00E85E6E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E85E6E" w:rsidRPr="00F60324" w:rsidTr="00E85E6E">
              <w:trPr>
                <w:tblCellSpacing w:w="15" w:type="dxa"/>
              </w:trPr>
              <w:tc>
                <w:tcPr>
                  <w:tcW w:w="4882" w:type="dxa"/>
                  <w:vMerge/>
                  <w:hideMark/>
                </w:tcPr>
                <w:p w:rsidR="00E85E6E" w:rsidRPr="00E85E6E" w:rsidRDefault="00E85E6E" w:rsidP="00E85E6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E85E6E" w:rsidRPr="00F60324" w:rsidRDefault="00E85E6E" w:rsidP="00E85E6E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W1, W2, W3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 U3, U2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F60324" w:rsidRPr="00F60324" w:rsidTr="00107EA6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F60324" w:rsidRPr="00F60324" w:rsidTr="00107EA6">
        <w:trPr>
          <w:gridAfter w:val="2"/>
          <w:wAfter w:w="630" w:type="pct"/>
          <w:trHeight w:val="45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EFEKT</w:t>
            </w:r>
          </w:p>
        </w:tc>
        <w:tc>
          <w:tcPr>
            <w:tcW w:w="2973" w:type="pct"/>
            <w:gridSpan w:val="9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769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769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65 %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W1, W2, W 3</w:t>
            </w:r>
          </w:p>
        </w:tc>
        <w:tc>
          <w:tcPr>
            <w:tcW w:w="3742" w:type="pct"/>
            <w:gridSpan w:val="10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Praca semestralna przygotowana w Power Point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769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20 %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U1,U2, U 3</w:t>
            </w:r>
          </w:p>
        </w:tc>
        <w:tc>
          <w:tcPr>
            <w:tcW w:w="3742" w:type="pct"/>
            <w:gridSpan w:val="10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Praktyczna analiza problemów, testy psychometryczne, praca zespołowa. Prezentacja wyników pracy zespołowej.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</w:t>
            </w:r>
          </w:p>
        </w:tc>
        <w:tc>
          <w:tcPr>
            <w:tcW w:w="3742" w:type="pct"/>
            <w:gridSpan w:val="10"/>
            <w:vAlign w:val="center"/>
          </w:tcPr>
          <w:p w:rsidR="00F60324" w:rsidRPr="00F60324" w:rsidRDefault="00E85E6E" w:rsidP="00E85E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z wykonywanych podczas zajęć projektów,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(Charakterystyka: ocena za stopień dostosowania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projektu do przedstawionych wymogów, umiejętność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wyboru ważnych informacji na zadany temat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projektowy, ich streszczenia, selekcji, wykorzystania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czasu, stopień pamięciowego opanowania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przekazywanych treści, umiejętność analizy wykresów,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tabel, arkuszy ocen pracowników itp. oraz umiejętność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 na ewentualne pytania), systematyczna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aktywność daje możliwość podniesienia oceny o pół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stopnia lub w przypadku nadzwyczajnych osiągnięć o</w:t>
            </w:r>
            <w:r w:rsidR="00C008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5E6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cały stopień.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3742" w:type="pct"/>
            <w:gridSpan w:val="10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 kończą się zaliczeniem z oceną. Do zaliczenia uprawnia: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wysoka frekwencja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praca semestralna opracowana w formie Power Point.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db.+ (4,5) - 85-89%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 (4,0) - 71%-84%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dst.+ (3,5) - 65%-70%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 (3,0) - 50%-65%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ndst. (2,0) - 0-49%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 potrafi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8" w:type="pct"/>
            <w:gridSpan w:val="2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potrafi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0" w:type="pct"/>
            <w:gridSpan w:val="5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1</w:t>
            </w:r>
          </w:p>
        </w:tc>
        <w:tc>
          <w:tcPr>
            <w:tcW w:w="1204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bardzo ogólny i pobieżny zna i rozumie miejsce i zachowanie pracownika  w instytucji publicznej</w:t>
            </w:r>
          </w:p>
        </w:tc>
        <w:tc>
          <w:tcPr>
            <w:tcW w:w="1268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miejsce i zachowanie człowieka  pracownika  w instytucji publicznej</w:t>
            </w:r>
          </w:p>
        </w:tc>
        <w:tc>
          <w:tcPr>
            <w:tcW w:w="1270" w:type="pct"/>
            <w:gridSpan w:val="5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miejsce miejsce i zachowanie człowieka  pracownika  w instytucji publicznej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2, W3</w:t>
            </w:r>
          </w:p>
        </w:tc>
        <w:tc>
          <w:tcPr>
            <w:tcW w:w="1204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bardzo ogólny i pobieżny zna i rozumie  i interpretuje koncepcje i metody stosowane w zarządzaniu zasobami ludzkimi ze szczególnym naciskiem na analizy wyjaśniające źródła zachowań urzędnika</w:t>
            </w:r>
          </w:p>
        </w:tc>
        <w:tc>
          <w:tcPr>
            <w:tcW w:w="1268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zna, rozumie i interpretuje koncepcje i metody stosowane w zarządzaniu zasobami ludzkimi ze szczególnym naciskiem na analizy wyjaśniające źródła zachowań urzędnika</w:t>
            </w:r>
          </w:p>
        </w:tc>
        <w:tc>
          <w:tcPr>
            <w:tcW w:w="1270" w:type="pct"/>
            <w:gridSpan w:val="5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zna, rozumie i interpretuje koncepcje i metody stosowane w zarządzaniu zasobami ludzkimi ze szczególnym naciskiem na analizy wyjaśniające źródła zachowań urzędnika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 1, U 2 , U 3</w:t>
            </w:r>
          </w:p>
        </w:tc>
        <w:tc>
          <w:tcPr>
            <w:tcW w:w="1204" w:type="pct"/>
            <w:gridSpan w:val="3"/>
            <w:vAlign w:val="center"/>
          </w:tcPr>
          <w:p w:rsidR="00F60324" w:rsidRPr="00F60324" w:rsidRDefault="00F60324" w:rsidP="00F60324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w stopniu jedynie wystarczającym prawidłowo rozwiązywać pojawiające się w działalności przedsiębiorstwa problemy związane z najczęstszymi błędami popełnianymi przez człowieka</w:t>
            </w:r>
          </w:p>
        </w:tc>
        <w:tc>
          <w:tcPr>
            <w:tcW w:w="1268" w:type="pct"/>
            <w:gridSpan w:val="2"/>
            <w:vAlign w:val="center"/>
          </w:tcPr>
          <w:p w:rsidR="00F60324" w:rsidRPr="00F60324" w:rsidRDefault="00F60324" w:rsidP="00F60324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w dobrym stopniu prawidłowo rozwiązywać pojawiające się w działalności przedsiębiorstwa problemy związane z najczęstszymi błędami popełnianymi przez człowieka</w:t>
            </w:r>
          </w:p>
        </w:tc>
        <w:tc>
          <w:tcPr>
            <w:tcW w:w="1270" w:type="pct"/>
            <w:gridSpan w:val="5"/>
            <w:vAlign w:val="center"/>
          </w:tcPr>
          <w:p w:rsidR="00F60324" w:rsidRPr="00F60324" w:rsidRDefault="00F60324" w:rsidP="00F60324">
            <w:pPr>
              <w:spacing w:before="300" w:beforeAutospacing="1" w:after="90" w:afterAutospacing="1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w stopniu pogłębionym prawidłowo rozwiązywać pojawiające się w działalności problemy związane z najczęstszymi błędami popełnianymi przez człowieka</w:t>
            </w:r>
          </w:p>
          <w:p w:rsidR="00F60324" w:rsidRPr="00F60324" w:rsidRDefault="00F60324" w:rsidP="00F60324">
            <w:pPr>
              <w:spacing w:before="300" w:beforeAutospacing="1" w:after="90" w:afterAutospacing="1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analizować rozwiązania konkretnych problemów zarządzania ofertą handlową</w:t>
            </w:r>
          </w:p>
        </w:tc>
      </w:tr>
      <w:tr w:rsidR="00F60324" w:rsidRPr="00F60324" w:rsidTr="00107EA6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 K 1, K 2</w:t>
            </w:r>
          </w:p>
        </w:tc>
        <w:tc>
          <w:tcPr>
            <w:tcW w:w="1204" w:type="pct"/>
            <w:gridSpan w:val="3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 zdolny do krytycznej oceny posiadanej wiedzy, ale także treści , które są jemu przekazywane na poziomie wystraczającym do odpowiedzialnego pełnienia ról zawodowych</w:t>
            </w:r>
          </w:p>
        </w:tc>
        <w:tc>
          <w:tcPr>
            <w:tcW w:w="1268" w:type="pct"/>
            <w:gridSpan w:val="2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gotów do krytycznej oceny posiadanej wiedzy, ale także treści, które są jemu przekazywane. 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 gotów w pracy do zasięgnięcia opinii ekspertów w przypadku trudności w samodzielnym rozwiązaniu problemu.</w:t>
            </w:r>
          </w:p>
        </w:tc>
        <w:tc>
          <w:tcPr>
            <w:tcW w:w="1270" w:type="pct"/>
            <w:gridSpan w:val="5"/>
            <w:vAlign w:val="center"/>
          </w:tcPr>
          <w:p w:rsidR="00F60324" w:rsidRPr="00F60324" w:rsidRDefault="00F60324" w:rsidP="00F60324">
            <w:pPr>
              <w:spacing w:before="100" w:beforeAutospacing="1" w:after="90" w:afterAutospacing="1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gotów do upowszechniania wzorców praworządnego zachowania urzędnika </w:t>
            </w:r>
          </w:p>
          <w:p w:rsidR="00F60324" w:rsidRPr="00F60324" w:rsidRDefault="00F60324" w:rsidP="00F60324">
            <w:pPr>
              <w:spacing w:before="100" w:beforeAutospacing="1" w:after="90" w:afterAutospacing="1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 Jest gotów do inicjowania działań na rzecz kształtowania zachowań innych osób w sposób proaktywny, mając świadomość, że wzmacnia to optymalizację podejmowanych działań etycznych</w:t>
            </w:r>
          </w:p>
        </w:tc>
      </w:tr>
      <w:tr w:rsidR="00F60324" w:rsidRPr="00F60324" w:rsidTr="00107EA6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3.6. LITERATURA</w:t>
            </w:r>
          </w:p>
        </w:tc>
      </w:tr>
      <w:tr w:rsidR="00F60324" w:rsidRPr="00F60324" w:rsidTr="00107EA6">
        <w:trPr>
          <w:gridAfter w:val="2"/>
          <w:wAfter w:w="630" w:type="pct"/>
          <w:trHeight w:val="39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F60324" w:rsidRPr="00F60324" w:rsidTr="00107EA6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60324" w:rsidRPr="00F60324" w:rsidRDefault="00F60324" w:rsidP="00F60324">
            <w:pPr>
              <w:numPr>
                <w:ilvl w:val="0"/>
                <w:numId w:val="2"/>
              </w:num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Barbara Lubas, Dominik Hryszkiewicz, Małgorzata Borowik, Kierunki doskonalenia koncepcji zarządzania organizacją publiczną. Teoria i praktyka, Wydawnictwo Wyższej Szkoły Policji,</w:t>
            </w:r>
            <w:r w:rsidR="00E076E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Szczytno 201</w:t>
            </w:r>
            <w:r w:rsidR="00E076E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:rsidR="00E076EB" w:rsidRPr="00F60324" w:rsidRDefault="00E076EB" w:rsidP="00F60324">
            <w:pPr>
              <w:numPr>
                <w:ilvl w:val="0"/>
                <w:numId w:val="2"/>
              </w:num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6E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Rostkowski Tomasz, Strategiczne zarządzanie zasobami ludzkimi w administracji publicznej, Wydawnictwo Wolters Kluwer, Warszawa 2017</w:t>
            </w:r>
          </w:p>
        </w:tc>
      </w:tr>
      <w:tr w:rsidR="00F60324" w:rsidRPr="00F60324" w:rsidTr="00107EA6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Pr="00F60324" w:rsidRDefault="00F60324" w:rsidP="00F60324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uzupełniająca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F60324" w:rsidRPr="00F60324" w:rsidTr="00107EA6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E076EB" w:rsidRPr="00E076EB" w:rsidRDefault="00E076EB" w:rsidP="00E076EB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Marek Marian Jabłoński, Marek Ćwiklicki, Stanisław Mazur, Współczesne koncepcje zarządzania publicznego. Wyzwania modernizacyjne sektora publicznego, Fundacja Gospodarki i Administracji Publicznej, 2016.</w:t>
            </w:r>
          </w:p>
          <w:p w:rsidR="00F60324" w:rsidRPr="00F60324" w:rsidRDefault="00F60324" w:rsidP="00E076EB">
            <w:pPr>
              <w:tabs>
                <w:tab w:val="left" w:pos="298"/>
              </w:tabs>
              <w:spacing w:after="0" w:line="240" w:lineRule="auto"/>
              <w:ind w:left="391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F60324" w:rsidRPr="00F60324" w:rsidRDefault="00F60324" w:rsidP="00F60324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lastRenderedPageBreak/>
        <w:t>4.</w:t>
      </w:r>
      <w:r w:rsidRPr="00F6032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F60324" w:rsidRPr="00F60324" w:rsidTr="00107EA6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Merge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35/20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130B3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130B3" w:rsidRPr="00F60324" w:rsidRDefault="00F130B3" w:rsidP="00F130B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F130B3" w:rsidRPr="00F60324" w:rsidRDefault="00F130B3" w:rsidP="00F130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</w:tcPr>
          <w:p w:rsidR="00F130B3" w:rsidRPr="00F130B3" w:rsidRDefault="00F130B3" w:rsidP="00F130B3">
            <w:pPr>
              <w:jc w:val="center"/>
              <w:rPr>
                <w:rFonts w:ascii="Times New Roman" w:hAnsi="Times New Roman" w:cs="Times New Roman"/>
              </w:rPr>
            </w:pPr>
            <w:r w:rsidRPr="00F130B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130B3" w:rsidRPr="00F130B3" w:rsidRDefault="00F130B3" w:rsidP="00F130B3">
            <w:pPr>
              <w:jc w:val="center"/>
              <w:rPr>
                <w:rFonts w:ascii="Times New Roman" w:hAnsi="Times New Roman" w:cs="Times New Roman"/>
              </w:rPr>
            </w:pPr>
            <w:r w:rsidRPr="00F130B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F130B3" w:rsidRPr="00F130B3" w:rsidRDefault="00F130B3" w:rsidP="00F130B3">
            <w:pPr>
              <w:jc w:val="center"/>
              <w:rPr>
                <w:rFonts w:ascii="Times New Roman" w:hAnsi="Times New Roman" w:cs="Times New Roman"/>
              </w:rPr>
            </w:pPr>
            <w:r w:rsidRPr="00F130B3">
              <w:rPr>
                <w:rFonts w:ascii="Times New Roman" w:hAnsi="Times New Roman" w:cs="Times New Roman"/>
              </w:rPr>
              <w:t>20/20</w:t>
            </w:r>
          </w:p>
        </w:tc>
        <w:tc>
          <w:tcPr>
            <w:tcW w:w="1054" w:type="dxa"/>
          </w:tcPr>
          <w:p w:rsidR="00F130B3" w:rsidRPr="00F60324" w:rsidRDefault="00F130B3" w:rsidP="00F13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2/3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16/30</w:t>
            </w: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2/2</w:t>
            </w:r>
          </w:p>
        </w:tc>
        <w:tc>
          <w:tcPr>
            <w:tcW w:w="1054" w:type="dxa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F6032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38/52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37/23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1.5/2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1.5/1</w:t>
            </w: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1.56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60324" w:rsidRPr="00F60324" w:rsidTr="00107EA6">
        <w:trPr>
          <w:trHeight w:val="284"/>
          <w:jc w:val="center"/>
        </w:trPr>
        <w:tc>
          <w:tcPr>
            <w:tcW w:w="562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F60324" w:rsidRPr="00F60324" w:rsidRDefault="00F60324" w:rsidP="00F603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1.44</w:t>
            </w:r>
          </w:p>
        </w:tc>
        <w:tc>
          <w:tcPr>
            <w:tcW w:w="1134" w:type="dxa"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32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F60324" w:rsidRPr="00F60324" w:rsidRDefault="00F60324" w:rsidP="00F603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F60324" w:rsidRPr="00F60324" w:rsidRDefault="00F60324" w:rsidP="00F60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F60324" w:rsidRPr="00F60324" w:rsidRDefault="00F60324" w:rsidP="00F60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F60324" w:rsidRPr="00F60324" w:rsidRDefault="00F60324" w:rsidP="00F60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F60324" w:rsidRPr="00F60324" w:rsidRDefault="00F60324" w:rsidP="00F60324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F60324" w:rsidRPr="00F60324" w:rsidRDefault="00F60324" w:rsidP="00F60324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F60324" w:rsidRPr="00F60324" w:rsidRDefault="00F60324" w:rsidP="00F60324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F60324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F60324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F60324" w:rsidRPr="00F60324" w:rsidRDefault="00F60324" w:rsidP="00F60324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F60324" w:rsidRPr="00F60324" w:rsidRDefault="00F60324" w:rsidP="00F60324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F6032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>zasobów ludzkich, ograniczoność czasowa. Wyniki pracy przedstawiane są w postaci dokumentacji projektu i jej  prezentacji.</w:t>
      </w: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F60324" w:rsidRPr="00F60324" w:rsidRDefault="00F60324" w:rsidP="00F603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F60324" w:rsidRPr="00F60324" w:rsidRDefault="00F60324" w:rsidP="00F603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F60324" w:rsidRPr="00F60324" w:rsidRDefault="00F60324" w:rsidP="00F6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F60324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F60324" w:rsidRPr="00F60324" w:rsidRDefault="00F60324" w:rsidP="00F6032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B12ED" w:rsidRDefault="000B12ED"/>
    <w:sectPr w:rsidR="000B12ED" w:rsidSect="008C47F0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EC6" w:rsidRDefault="00D00EC6">
      <w:pPr>
        <w:spacing w:after="0" w:line="240" w:lineRule="auto"/>
      </w:pPr>
      <w:r>
        <w:separator/>
      </w:r>
    </w:p>
  </w:endnote>
  <w:endnote w:type="continuationSeparator" w:id="0">
    <w:p w:rsidR="00D00EC6" w:rsidRDefault="00D0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F0" w:rsidRDefault="00D00EC6" w:rsidP="008C47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47F0" w:rsidRDefault="00D00EC6" w:rsidP="008C47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F0" w:rsidRDefault="00D00EC6" w:rsidP="008C47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6A1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C47F0" w:rsidRDefault="00D00EC6" w:rsidP="008C47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EC6" w:rsidRDefault="00D00EC6">
      <w:pPr>
        <w:spacing w:after="0" w:line="240" w:lineRule="auto"/>
      </w:pPr>
      <w:r>
        <w:separator/>
      </w:r>
    </w:p>
  </w:footnote>
  <w:footnote w:type="continuationSeparator" w:id="0">
    <w:p w:rsidR="00D00EC6" w:rsidRDefault="00D00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8C47F0" w:rsidRPr="000C30EE" w:rsidTr="008C47F0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C47F0" w:rsidRPr="002A2ED1" w:rsidRDefault="00D00EC6" w:rsidP="008C47F0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8C47F0" w:rsidRPr="00C7702C" w:rsidRDefault="00D00EC6" w:rsidP="008C47F0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:rsidR="008C47F0" w:rsidRDefault="00D00EC6" w:rsidP="008C47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D5FAF"/>
    <w:multiLevelType w:val="hybridMultilevel"/>
    <w:tmpl w:val="F1A8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24"/>
    <w:rsid w:val="000B12ED"/>
    <w:rsid w:val="00450471"/>
    <w:rsid w:val="004A669A"/>
    <w:rsid w:val="00C00830"/>
    <w:rsid w:val="00D00EC6"/>
    <w:rsid w:val="00E076EB"/>
    <w:rsid w:val="00E85E6E"/>
    <w:rsid w:val="00E86A15"/>
    <w:rsid w:val="00F130B3"/>
    <w:rsid w:val="00F6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DDF20-F4DA-4582-982F-8AC6F784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03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F6032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F603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6032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rsid w:val="00F603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1922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Wiesław</cp:lastModifiedBy>
  <cp:revision>2</cp:revision>
  <dcterms:created xsi:type="dcterms:W3CDTF">2023-09-18T14:31:00Z</dcterms:created>
  <dcterms:modified xsi:type="dcterms:W3CDTF">2023-09-18T14:31:00Z</dcterms:modified>
</cp:coreProperties>
</file>